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2BB36" w14:textId="53ED060B" w:rsidR="00AE2C81" w:rsidRDefault="00AE2C81" w:rsidP="00AE2C81">
      <w:pPr>
        <w:pStyle w:val="Heading4"/>
      </w:pPr>
      <w:r>
        <w:t xml:space="preserve">Your author does cite ours – to </w:t>
      </w:r>
      <w:r>
        <w:rPr>
          <w:u w:val="single"/>
        </w:rPr>
        <w:t xml:space="preserve">argue he’s right </w:t>
      </w:r>
      <w:r>
        <w:t>and to criticize your link. Star this and please read it during CX.</w:t>
      </w:r>
    </w:p>
    <w:p w14:paraId="74B8868E" w14:textId="64EA42F5" w:rsidR="00AE2C81" w:rsidRPr="00AE2C81" w:rsidRDefault="00AE2C81" w:rsidP="00AE2C81">
      <w:r w:rsidRPr="00EA7D95">
        <w:t xml:space="preserve">Megan </w:t>
      </w:r>
      <w:r w:rsidRPr="00F3438E">
        <w:rPr>
          <w:rStyle w:val="Style13ptBold"/>
        </w:rPr>
        <w:t>Ingram 25</w:t>
      </w:r>
      <w:r w:rsidRPr="00EA7D95">
        <w:t xml:space="preserve">, </w:t>
      </w:r>
      <w:r>
        <w:t xml:space="preserve">queer disability studies scholar and documentary filmmaker who holds an MA in Sociology from Queen’s University in Canada; and Kai Jacobsen, trans health researcher and MA student in Sociology at Carleton University, 2025, “Both because of and in spite of: Towards the reclamation of queercrip joy,” </w:t>
      </w:r>
      <w:r>
        <w:rPr>
          <w:i/>
          <w:iCs/>
        </w:rPr>
        <w:t>Sexualities</w:t>
      </w:r>
      <w:r>
        <w:t xml:space="preserve">, vol. 28, no. 3, pp. 800-807, </w:t>
      </w:r>
      <w:r w:rsidRPr="00F3438E">
        <w:t>https://journals.sagepub.com/doi/10.1177/13634607241264319</w:t>
      </w:r>
      <w:r>
        <w:t>.</w:t>
      </w:r>
    </w:p>
    <w:p w14:paraId="0F15A997" w14:textId="492F865F" w:rsidR="00AE2C81" w:rsidRPr="00AE2C81" w:rsidRDefault="00AE2C81" w:rsidP="00AE2C81">
      <w:pPr>
        <w:rPr>
          <w:u w:val="single"/>
        </w:rPr>
      </w:pPr>
      <w:r w:rsidRPr="00AE2C81">
        <w:rPr>
          <w:highlight w:val="green"/>
          <w:u w:val="single"/>
        </w:rPr>
        <w:t>While emphasizing euphoria over dysphoria</w:t>
      </w:r>
      <w:r w:rsidRPr="00AE2C81">
        <w:rPr>
          <w:u w:val="single"/>
        </w:rPr>
        <w:t xml:space="preserve"> can </w:t>
      </w:r>
      <w:r w:rsidRPr="00AE2C81">
        <w:rPr>
          <w:highlight w:val="green"/>
          <w:u w:val="single"/>
        </w:rPr>
        <w:t>resist</w:t>
      </w:r>
      <w:r w:rsidRPr="00AE2C81">
        <w:rPr>
          <w:u w:val="single"/>
        </w:rPr>
        <w:t xml:space="preserve"> the </w:t>
      </w:r>
      <w:r w:rsidRPr="00AE2C81">
        <w:rPr>
          <w:highlight w:val="green"/>
          <w:u w:val="single"/>
        </w:rPr>
        <w:t>pathologization of transness on an individual</w:t>
      </w:r>
      <w:r w:rsidRPr="00AE2C81">
        <w:rPr>
          <w:u w:val="single"/>
        </w:rPr>
        <w:t xml:space="preserve"> and cultural </w:t>
      </w:r>
      <w:r w:rsidRPr="00AE2C81">
        <w:rPr>
          <w:highlight w:val="green"/>
          <w:u w:val="single"/>
        </w:rPr>
        <w:t xml:space="preserve">level, it falls flat as a political strategy. </w:t>
      </w:r>
      <w:r w:rsidRPr="00AE2C81">
        <w:rPr>
          <w:u w:val="single"/>
        </w:rPr>
        <w:t xml:space="preserve">Positioning </w:t>
      </w:r>
      <w:r w:rsidRPr="00AE2C81">
        <w:rPr>
          <w:highlight w:val="green"/>
          <w:u w:val="single"/>
        </w:rPr>
        <w:t>trans joy as evidence that transness is not an illness</w:t>
      </w:r>
      <w:r w:rsidRPr="00AE2C81">
        <w:rPr>
          <w:u w:val="single"/>
        </w:rPr>
        <w:t xml:space="preserve"> or disorder </w:t>
      </w:r>
      <w:r w:rsidRPr="00AE2C81">
        <w:rPr>
          <w:highlight w:val="green"/>
          <w:u w:val="single"/>
        </w:rPr>
        <w:t>implicitly positions</w:t>
      </w:r>
      <w:r w:rsidRPr="00AE2C81">
        <w:rPr>
          <w:u w:val="single"/>
        </w:rPr>
        <w:t xml:space="preserve"> trans </w:t>
      </w:r>
      <w:r w:rsidRPr="00AE2C81">
        <w:rPr>
          <w:highlight w:val="green"/>
          <w:u w:val="single"/>
        </w:rPr>
        <w:t>dysphoria, depression, and negative affect</w:t>
      </w:r>
      <w:r w:rsidRPr="00AE2C81">
        <w:rPr>
          <w:u w:val="single"/>
        </w:rPr>
        <w:t xml:space="preserve"> as evidence that transness is an illness. </w:t>
      </w:r>
      <w:r w:rsidRPr="00AE2C81">
        <w:rPr>
          <w:highlight w:val="green"/>
          <w:u w:val="single"/>
        </w:rPr>
        <w:t>This</w:t>
      </w:r>
      <w:r w:rsidRPr="00AE2C81">
        <w:rPr>
          <w:u w:val="single"/>
        </w:rPr>
        <w:t xml:space="preserve"> tactic </w:t>
      </w:r>
      <w:r w:rsidRPr="00AE2C81">
        <w:rPr>
          <w:highlight w:val="green"/>
          <w:u w:val="single"/>
        </w:rPr>
        <w:t>does not disrupt</w:t>
      </w:r>
      <w:r w:rsidRPr="00AE2C81">
        <w:rPr>
          <w:u w:val="single"/>
        </w:rPr>
        <w:t xml:space="preserve"> the </w:t>
      </w:r>
      <w:r w:rsidRPr="00AE2C81">
        <w:rPr>
          <w:highlight w:val="green"/>
          <w:u w:val="single"/>
        </w:rPr>
        <w:t>ableist logic</w:t>
      </w:r>
      <w:r w:rsidRPr="00AE2C81">
        <w:rPr>
          <w:u w:val="single"/>
        </w:rPr>
        <w:t xml:space="preserve"> that justifies the harms of psychopathologization, </w:t>
      </w:r>
      <w:r w:rsidRPr="00AE2C81">
        <w:rPr>
          <w:highlight w:val="green"/>
          <w:u w:val="single"/>
        </w:rPr>
        <w:t>it merely seeks to exempt trans people from these harms. Positioning trans as happy</w:t>
      </w:r>
      <w:r w:rsidRPr="00AE2C81">
        <w:rPr>
          <w:u w:val="single"/>
        </w:rPr>
        <w:t xml:space="preserve"> and therefore healthy and good </w:t>
      </w:r>
      <w:r w:rsidRPr="00AE2C81">
        <w:rPr>
          <w:highlight w:val="green"/>
          <w:u w:val="single"/>
        </w:rPr>
        <w:t>distances trans people from disability</w:t>
      </w:r>
      <w:r w:rsidRPr="00AE2C81">
        <w:rPr>
          <w:u w:val="single"/>
        </w:rPr>
        <w:t xml:space="preserve"> and madness, reinforcing ableism and sanism (Pilling, 2022). Notably, </w:t>
      </w:r>
      <w:r w:rsidRPr="00AE2C81">
        <w:rPr>
          <w:highlight w:val="green"/>
          <w:u w:val="single"/>
        </w:rPr>
        <w:t>Cameron Awkward-Rich</w:t>
      </w:r>
      <w:r w:rsidRPr="00AE2C81">
        <w:rPr>
          <w:u w:val="single"/>
        </w:rPr>
        <w:t xml:space="preserve"> (2022) </w:t>
      </w:r>
      <w:r w:rsidRPr="00AE2C81">
        <w:rPr>
          <w:highlight w:val="green"/>
          <w:u w:val="single"/>
        </w:rPr>
        <w:t>argues</w:t>
      </w:r>
      <w:r w:rsidRPr="00AE2C81">
        <w:rPr>
          <w:u w:val="single"/>
        </w:rPr>
        <w:t xml:space="preserve"> that </w:t>
      </w:r>
      <w:r w:rsidRPr="00AE2C81">
        <w:rPr>
          <w:highlight w:val="green"/>
          <w:u w:val="single"/>
        </w:rPr>
        <w:t>the</w:t>
      </w:r>
      <w:r w:rsidRPr="00AE2C81">
        <w:rPr>
          <w:u w:val="single"/>
        </w:rPr>
        <w:t xml:space="preserve"> proponents and </w:t>
      </w:r>
      <w:r w:rsidRPr="00AE2C81">
        <w:rPr>
          <w:highlight w:val="green"/>
          <w:u w:val="single"/>
        </w:rPr>
        <w:t>beneficiaries of trans happiness</w:t>
      </w:r>
      <w:r w:rsidRPr="00AE2C81">
        <w:rPr>
          <w:u w:val="single"/>
        </w:rPr>
        <w:t xml:space="preserve"> discourses </w:t>
      </w:r>
      <w:r w:rsidRPr="00AE2C81">
        <w:rPr>
          <w:highlight w:val="green"/>
          <w:u w:val="single"/>
        </w:rPr>
        <w:t>are primarily white non-disabled transmasculine people</w:t>
      </w:r>
      <w:r w:rsidRPr="00AE2C81">
        <w:rPr>
          <w:u w:val="single"/>
        </w:rPr>
        <w:t xml:space="preserve">, whose </w:t>
      </w:r>
      <w:r w:rsidRPr="00AE2C81">
        <w:rPr>
          <w:highlight w:val="green"/>
          <w:u w:val="single"/>
        </w:rPr>
        <w:t>access to whiteness and masculinity allows them to distance themselves from other</w:t>
      </w:r>
      <w:r w:rsidRPr="00AE2C81">
        <w:rPr>
          <w:u w:val="single"/>
        </w:rPr>
        <w:t xml:space="preserve"> racialized, feminized, and disabled </w:t>
      </w:r>
      <w:r w:rsidRPr="00AE2C81">
        <w:rPr>
          <w:highlight w:val="green"/>
          <w:u w:val="single"/>
        </w:rPr>
        <w:t>trans people</w:t>
      </w:r>
      <w:r w:rsidRPr="00AE2C81">
        <w:rPr>
          <w:u w:val="single"/>
        </w:rPr>
        <w:t xml:space="preserve">. As such, while </w:t>
      </w:r>
      <w:r w:rsidRPr="00AE2C81">
        <w:rPr>
          <w:highlight w:val="green"/>
          <w:u w:val="single"/>
        </w:rPr>
        <w:t>trans joy</w:t>
      </w:r>
      <w:r w:rsidRPr="00AE2C81">
        <w:rPr>
          <w:u w:val="single"/>
        </w:rPr>
        <w:t xml:space="preserve"> discourses enable some trans people to escape some of the harms of oppression and pathologization, they </w:t>
      </w:r>
      <w:r w:rsidRPr="00AE2C81">
        <w:rPr>
          <w:highlight w:val="green"/>
          <w:u w:val="single"/>
        </w:rPr>
        <w:t>fail to disrupt</w:t>
      </w:r>
      <w:r w:rsidRPr="00AE2C81">
        <w:rPr>
          <w:u w:val="single"/>
        </w:rPr>
        <w:t xml:space="preserve"> the </w:t>
      </w:r>
      <w:r w:rsidRPr="00AE2C81">
        <w:rPr>
          <w:highlight w:val="green"/>
          <w:u w:val="single"/>
        </w:rPr>
        <w:t>power structures that maintain oppression. The palatable trans person is similarly reflected in disability pride narratives</w:t>
      </w:r>
      <w:r w:rsidRPr="00AE2C81">
        <w:rPr>
          <w:u w:val="single"/>
        </w:rPr>
        <w:t xml:space="preserve"> that rely on assimilation into cisheteronormative and white supremacist ideals of overcoming, defeating, and eliminating shame, symptoms, or disability itself, as evident in the trope of the Paralympian. Even in texts where disability pride is based in a rejection of overcoming narratives, </w:t>
      </w:r>
      <w:r w:rsidRPr="00AE2C81">
        <w:rPr>
          <w:highlight w:val="green"/>
          <w:u w:val="single"/>
        </w:rPr>
        <w:t>the incitement to see pride as the emotion to orient to</w:t>
      </w:r>
      <w:r w:rsidRPr="00AE2C81">
        <w:rPr>
          <w:u w:val="single"/>
        </w:rPr>
        <w:t xml:space="preserve"> and the “end” of the disability acceptance journey </w:t>
      </w:r>
      <w:r w:rsidRPr="00AE2C81">
        <w:rPr>
          <w:highlight w:val="green"/>
          <w:u w:val="single"/>
        </w:rPr>
        <w:t>creates another affective expectation</w:t>
      </w:r>
      <w:r w:rsidRPr="00AE2C81">
        <w:rPr>
          <w:u w:val="single"/>
        </w:rPr>
        <w:t xml:space="preserve"> that in many ways parallels developmentalist narratives. In both cases, </w:t>
      </w:r>
      <w:r w:rsidRPr="00AE2C81">
        <w:rPr>
          <w:highlight w:val="green"/>
          <w:u w:val="single"/>
        </w:rPr>
        <w:t>the mechanisms of ableism and sanism seek to distance</w:t>
      </w:r>
      <w:r w:rsidRPr="00AE2C81">
        <w:rPr>
          <w:u w:val="single"/>
        </w:rPr>
        <w:t xml:space="preserve"> queer, trans, and disabled people from themselves as well as from each other </w:t>
      </w:r>
      <w:r w:rsidRPr="00AE2C81">
        <w:rPr>
          <w:highlight w:val="green"/>
          <w:u w:val="single"/>
        </w:rPr>
        <w:t>to block coalitional politics.</w:t>
      </w:r>
      <w:r w:rsidRPr="00AE2C81">
        <w:rPr>
          <w:u w:val="single"/>
        </w:rPr>
        <w:t xml:space="preserve"> </w:t>
      </w:r>
    </w:p>
    <w:p w14:paraId="33761B7A"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A3318D" w14:textId="77777777" w:rsidR="00685DB1" w:rsidRDefault="00685DB1" w:rsidP="00066D2C">
      <w:pPr>
        <w:spacing w:after="0" w:line="240" w:lineRule="auto"/>
      </w:pPr>
      <w:r>
        <w:separator/>
      </w:r>
    </w:p>
  </w:endnote>
  <w:endnote w:type="continuationSeparator" w:id="0">
    <w:p w14:paraId="287C9C11" w14:textId="77777777" w:rsidR="00685DB1" w:rsidRDefault="00685DB1"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E0923" w14:textId="77777777" w:rsidR="00685DB1" w:rsidRDefault="00685DB1" w:rsidP="00066D2C">
      <w:pPr>
        <w:spacing w:after="0" w:line="240" w:lineRule="auto"/>
      </w:pPr>
      <w:r>
        <w:separator/>
      </w:r>
    </w:p>
  </w:footnote>
  <w:footnote w:type="continuationSeparator" w:id="0">
    <w:p w14:paraId="7238E85A" w14:textId="77777777" w:rsidR="00685DB1" w:rsidRDefault="00685DB1"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AE2C81"/>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27B"/>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5F94"/>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5DB1"/>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234D"/>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12B"/>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2C81"/>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6F6E"/>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9D3B1F"/>
  <w15:chartTrackingRefBased/>
  <w15:docId w15:val="{EB1FE43D-AF6C-4052-998C-9BF27CE56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AE2C81"/>
    <w:rPr>
      <w:rFonts w:ascii="Calibri" w:hAnsi="Calibri" w:cs="Calibri"/>
    </w:rPr>
  </w:style>
  <w:style w:type="paragraph" w:styleId="Heading1">
    <w:name w:val="heading 1"/>
    <w:aliases w:val="Pocket"/>
    <w:basedOn w:val="Normal"/>
    <w:next w:val="Normal"/>
    <w:link w:val="Heading1Char"/>
    <w:qFormat/>
    <w:rsid w:val="00AE2C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AE2C8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AE2C8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qFormat/>
    <w:rsid w:val="00AE2C8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AE2C81"/>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AE2C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2C81"/>
  </w:style>
  <w:style w:type="character" w:styleId="Emphasis">
    <w:name w:val="Emphasis"/>
    <w:basedOn w:val="DefaultParagraphFont"/>
    <w:uiPriority w:val="8"/>
    <w:qFormat/>
    <w:rsid w:val="00AE2C8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E2C81"/>
    <w:rPr>
      <w:color w:val="auto"/>
      <w:u w:val="none"/>
    </w:rPr>
  </w:style>
  <w:style w:type="character" w:customStyle="1" w:styleId="Heading1Char">
    <w:name w:val="Heading 1 Char"/>
    <w:aliases w:val="Pocket Char"/>
    <w:basedOn w:val="DefaultParagraphFont"/>
    <w:link w:val="Heading1"/>
    <w:rsid w:val="00AE2C8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E2C8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E2C8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E2C81"/>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6"/>
    <w:qFormat/>
    <w:rsid w:val="00AE2C81"/>
    <w:rPr>
      <w:b/>
      <w:bCs/>
      <w:sz w:val="26"/>
      <w:u w:val="none"/>
    </w:rPr>
  </w:style>
  <w:style w:type="character" w:customStyle="1" w:styleId="StyleUnderline">
    <w:name w:val="Style Underline"/>
    <w:aliases w:val="Underline"/>
    <w:basedOn w:val="DefaultParagraphFont"/>
    <w:uiPriority w:val="7"/>
    <w:qFormat/>
    <w:rsid w:val="00AE2C81"/>
    <w:rPr>
      <w:b w:val="0"/>
      <w:sz w:val="22"/>
      <w:u w:val="single"/>
    </w:rPr>
  </w:style>
  <w:style w:type="character" w:styleId="Strong">
    <w:name w:val="Strong"/>
    <w:basedOn w:val="DefaultParagraphFont"/>
    <w:uiPriority w:val="22"/>
    <w:semiHidden/>
    <w:qFormat/>
    <w:rsid w:val="00AE2C81"/>
    <w:rPr>
      <w:b/>
      <w:bCs/>
    </w:rPr>
  </w:style>
  <w:style w:type="character" w:styleId="BookTitle">
    <w:name w:val="Book Title"/>
    <w:basedOn w:val="DefaultParagraphFont"/>
    <w:uiPriority w:val="33"/>
    <w:semiHidden/>
    <w:qFormat/>
    <w:rsid w:val="00AE2C81"/>
    <w:rPr>
      <w:b/>
      <w:bCs/>
      <w:i/>
      <w:iCs/>
      <w:spacing w:val="5"/>
    </w:rPr>
  </w:style>
  <w:style w:type="character" w:customStyle="1" w:styleId="Heading5Char">
    <w:name w:val="Heading 5 Char"/>
    <w:basedOn w:val="DefaultParagraphFont"/>
    <w:link w:val="Heading5"/>
    <w:uiPriority w:val="9"/>
    <w:semiHidden/>
    <w:rsid w:val="00AE2C81"/>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AE2C81"/>
  </w:style>
  <w:style w:type="paragraph" w:styleId="Header">
    <w:name w:val="header"/>
    <w:basedOn w:val="Normal"/>
    <w:link w:val="HeaderChar"/>
    <w:uiPriority w:val="99"/>
    <w:semiHidden/>
    <w:rsid w:val="00AE2C8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E2C81"/>
    <w:rPr>
      <w:rFonts w:ascii="Calibri" w:hAnsi="Calibri" w:cs="Calibri"/>
    </w:rPr>
  </w:style>
  <w:style w:type="paragraph" w:styleId="Footer">
    <w:name w:val="footer"/>
    <w:basedOn w:val="Normal"/>
    <w:link w:val="FooterChar"/>
    <w:uiPriority w:val="99"/>
    <w:semiHidden/>
    <w:rsid w:val="00AE2C8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E2C81"/>
    <w:rPr>
      <w:rFonts w:ascii="Calibri" w:hAnsi="Calibri" w:cs="Calibri"/>
    </w:rPr>
  </w:style>
  <w:style w:type="paragraph" w:styleId="BodyText">
    <w:name w:val="Body Text"/>
    <w:basedOn w:val="Normal"/>
    <w:link w:val="BodyTextChar"/>
    <w:uiPriority w:val="99"/>
    <w:semiHidden/>
    <w:unhideWhenUsed/>
    <w:rsid w:val="00AE2C81"/>
    <w:pPr>
      <w:spacing w:after="120"/>
    </w:pPr>
  </w:style>
  <w:style w:type="character" w:customStyle="1" w:styleId="BodyTextChar">
    <w:name w:val="Body Text Char"/>
    <w:basedOn w:val="DefaultParagraphFont"/>
    <w:link w:val="BodyText"/>
    <w:uiPriority w:val="99"/>
    <w:semiHidden/>
    <w:rsid w:val="00AE2C81"/>
    <w:rPr>
      <w:rFonts w:ascii="Calibri" w:hAnsi="Calibri" w:cs="Calibri"/>
    </w:rPr>
  </w:style>
  <w:style w:type="paragraph" w:styleId="NoSpacing">
    <w:name w:val="No Spacing"/>
    <w:link w:val="NoSpacingChar"/>
    <w:uiPriority w:val="99"/>
    <w:semiHidden/>
    <w:unhideWhenUsed/>
    <w:qFormat/>
    <w:rsid w:val="00AE2C81"/>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AE2C81"/>
    <w:rPr>
      <w:rFonts w:ascii="Calibri" w:hAnsi="Calibri" w:cs="Calibri"/>
    </w:rPr>
  </w:style>
  <w:style w:type="character" w:styleId="Hyperlink">
    <w:name w:val="Hyperlink"/>
    <w:basedOn w:val="DefaultParagraphFont"/>
    <w:uiPriority w:val="99"/>
    <w:unhideWhenUsed/>
    <w:rsid w:val="00AE2C81"/>
    <w:rPr>
      <w:color w:val="0563C1" w:themeColor="hyperlink"/>
      <w:u w:val="single"/>
    </w:rPr>
  </w:style>
  <w:style w:type="character" w:styleId="UnresolvedMention">
    <w:name w:val="Unresolved Mention"/>
    <w:basedOn w:val="DefaultParagraphFont"/>
    <w:uiPriority w:val="99"/>
    <w:semiHidden/>
    <w:unhideWhenUsed/>
    <w:rsid w:val="00AE2C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m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366</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Rose Larson</dc:creator>
  <cp:keywords>6.0.0</cp:keywords>
  <dc:description/>
  <cp:lastModifiedBy>Rose Larson</cp:lastModifiedBy>
  <cp:revision>1</cp:revision>
  <dcterms:created xsi:type="dcterms:W3CDTF">2026-01-18T13:27:00Z</dcterms:created>
  <dcterms:modified xsi:type="dcterms:W3CDTF">2026-01-18T15:02:00Z</dcterms:modified>
</cp:coreProperties>
</file>